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F3EE3" w14:textId="77777777" w:rsidR="009C4B74" w:rsidRPr="009C4B74" w:rsidRDefault="009C4B74" w:rsidP="009C4B74">
      <w:pPr>
        <w:rPr>
          <w:b/>
          <w:sz w:val="24"/>
        </w:rPr>
      </w:pPr>
      <w:r w:rsidRPr="009C4B74">
        <w:rPr>
          <w:b/>
          <w:sz w:val="24"/>
        </w:rPr>
        <w:t>Anwendungssicherheit beim Pflanzenschutz im Weinbau</w:t>
      </w:r>
    </w:p>
    <w:p w14:paraId="2EDC6847" w14:textId="05751B53" w:rsidR="009C4B74" w:rsidRDefault="00CA799F" w:rsidP="009C4B74">
      <w:r>
        <w:t>Dr. Christian Schlawis</w:t>
      </w:r>
      <w:r w:rsidR="009C4B74">
        <w:t>*</w:t>
      </w:r>
      <w:r w:rsidR="009C4B74" w:rsidRPr="00D9510E">
        <w:t xml:space="preserve"> </w:t>
      </w:r>
      <w:r w:rsidR="009C4B74" w:rsidRPr="006A62E9">
        <w:t>Dr. Markus Röver</w:t>
      </w:r>
      <w:r w:rsidR="009C4B74">
        <w:t>*</w:t>
      </w:r>
      <w:r w:rsidR="00E5221C">
        <w:t>, Isabelle Lampe **, Joachim Schmidt**</w:t>
      </w:r>
    </w:p>
    <w:p w14:paraId="58992F27" w14:textId="77777777" w:rsidR="009C4B74" w:rsidRDefault="009C4B74" w:rsidP="009C4B74"/>
    <w:p w14:paraId="07B2D053" w14:textId="77777777" w:rsidR="009C4B74" w:rsidRDefault="009C4B74" w:rsidP="009C4B74">
      <w:r>
        <w:t>*</w:t>
      </w:r>
      <w:r w:rsidRPr="006A62E9">
        <w:t>Bundesamt für Verbraucherschutz und Lebensmittelsicherheit (BVL) – Abteilung Pflanzenschutzmittel</w:t>
      </w:r>
    </w:p>
    <w:p w14:paraId="119FAAA0" w14:textId="093305E0" w:rsidR="00E5221C" w:rsidRDefault="00E5221C" w:rsidP="009C4B74">
      <w:r>
        <w:t xml:space="preserve">** Dienstleistungszentrum Ländlicher Raum (DLR) Rheinpfalz, Neustadt an der Weinstraße </w:t>
      </w:r>
    </w:p>
    <w:p w14:paraId="71EEBBDE" w14:textId="77777777" w:rsidR="009C4B74" w:rsidRDefault="009C4B74" w:rsidP="0080073D">
      <w:pPr>
        <w:rPr>
          <w:b/>
        </w:rPr>
      </w:pPr>
    </w:p>
    <w:p w14:paraId="6EAA2AEF" w14:textId="77777777" w:rsidR="0080073D" w:rsidRPr="0085660A" w:rsidRDefault="0080073D" w:rsidP="0080073D">
      <w:pPr>
        <w:rPr>
          <w:b/>
        </w:rPr>
      </w:pPr>
      <w:r w:rsidRPr="0085660A">
        <w:rPr>
          <w:b/>
        </w:rPr>
        <w:t>Einleitung</w:t>
      </w:r>
    </w:p>
    <w:p w14:paraId="113DF343" w14:textId="73AC735E" w:rsidR="0080073D" w:rsidRDefault="0080073D" w:rsidP="0080073D">
      <w:r>
        <w:t xml:space="preserve">Pflanzenschutzmittel sind </w:t>
      </w:r>
      <w:r w:rsidR="008402F0">
        <w:t>grundsätzlich</w:t>
      </w:r>
      <w:r>
        <w:t xml:space="preserve"> Chemikaliengemische, die eine Wirkung auf Lebewesen ausüben sollen. Neben </w:t>
      </w:r>
      <w:r w:rsidR="00660780">
        <w:t xml:space="preserve">ihrer erwünschten </w:t>
      </w:r>
      <w:r>
        <w:t xml:space="preserve">Hauptwirkung auf </w:t>
      </w:r>
      <w:r w:rsidR="00D7041A">
        <w:t xml:space="preserve">Schadorganismen </w:t>
      </w:r>
      <w:r w:rsidR="00467DC3">
        <w:t xml:space="preserve">weisen sie häufig </w:t>
      </w:r>
      <w:r>
        <w:t>auch</w:t>
      </w:r>
      <w:r w:rsidR="00660780">
        <w:t xml:space="preserve"> unerwünschte</w:t>
      </w:r>
      <w:r>
        <w:t xml:space="preserve"> Wirkungen auf andere </w:t>
      </w:r>
      <w:r w:rsidR="00660780">
        <w:t xml:space="preserve">Lebewesen </w:t>
      </w:r>
      <w:r w:rsidR="008402F0">
        <w:t>au</w:t>
      </w:r>
      <w:r w:rsidR="00467DC3">
        <w:t>f</w:t>
      </w:r>
      <w:r w:rsidR="008402F0">
        <w:t xml:space="preserve">. Dazu gehört letztlich auch der </w:t>
      </w:r>
      <w:r>
        <w:t xml:space="preserve">Mensch. Die möglichen Wirkungen sind grundsätzlich von der Dosis abhängig. Das Ziel des gesundheitlichen Risikomanagements im Rahmen der Zulassung von Pflanzenschutzmitteln besteht darin, unter Zuhilfenahme von Risikominderungsmaßnahmen </w:t>
      </w:r>
      <w:r w:rsidR="00611AA0">
        <w:t>sicherzustellen</w:t>
      </w:r>
      <w:r w:rsidR="00467DC3">
        <w:t>, dass geltende Grenzwerte eingehalten werden</w:t>
      </w:r>
      <w:r>
        <w:t xml:space="preserve">. Wenn </w:t>
      </w:r>
      <w:r w:rsidR="0065752C">
        <w:t>alle</w:t>
      </w:r>
      <w:r>
        <w:t xml:space="preserve"> Vorschriften beachtet werden, lassen sich schädliche Auswirkungen für die Gesundheit </w:t>
      </w:r>
      <w:r w:rsidR="00D7041A">
        <w:t xml:space="preserve">von Mensch und Tier </w:t>
      </w:r>
      <w:r>
        <w:t>ausschließen.</w:t>
      </w:r>
    </w:p>
    <w:p w14:paraId="10A9FC21" w14:textId="605B583B" w:rsidR="0080073D" w:rsidRDefault="0080073D" w:rsidP="0080073D">
      <w:r>
        <w:t xml:space="preserve">Alle Personengruppen, die potenziell in Kontakt mit Pflanzenschutzmitteln kommen können, müssen ausreichend geschützt werden. Betroffen sind neben den Anwendern, die das Mittel ausbringen und den Arbeitskräften, die Nachfolgetätigkeiten in behandelten Beständen ausführen auch unbeteiligte Dritte, die z. B. durch Sprühnebel und Nahrungsmittel exponiert werden. In diesem Artikel werden </w:t>
      </w:r>
      <w:r w:rsidR="00611AA0">
        <w:t>jedoch ausschließlich</w:t>
      </w:r>
      <w:r>
        <w:t xml:space="preserve"> Anwender und Arbeitskräfte berücksichtigt.</w:t>
      </w:r>
    </w:p>
    <w:p w14:paraId="643A2699" w14:textId="1C5C1748" w:rsidR="0080073D" w:rsidRDefault="0080073D" w:rsidP="0080073D">
      <w:r w:rsidRPr="00F429FD">
        <w:t xml:space="preserve">Die Verwendung der richtigen persönlichen Schutzausrüstung (PSA) ist ein wichtiger Baustein, um </w:t>
      </w:r>
      <w:r>
        <w:t>ausreichend</w:t>
      </w:r>
      <w:r w:rsidR="00611AA0">
        <w:t>en</w:t>
      </w:r>
      <w:r>
        <w:t xml:space="preserve"> Schutz</w:t>
      </w:r>
      <w:r w:rsidRPr="00F429FD">
        <w:t xml:space="preserve"> für Anwender und Arbeitskräfte zu erreichen.</w:t>
      </w:r>
      <w:r>
        <w:t xml:space="preserve"> </w:t>
      </w:r>
      <w:r w:rsidR="00467DC3">
        <w:t xml:space="preserve">Doch </w:t>
      </w:r>
      <w:r>
        <w:t>auch t</w:t>
      </w:r>
      <w:r w:rsidRPr="00F429FD">
        <w:t>echnische Lösungen wie geschlossene Fahrerkabinen für die Ausbringung von Pflanzenschutzmitteln oder automatisierte Befüllsysteme bieten ein hohes Maß an Schutz</w:t>
      </w:r>
      <w:r>
        <w:t xml:space="preserve"> für Anwender</w:t>
      </w:r>
      <w:r w:rsidRPr="00F429FD">
        <w:t xml:space="preserve">. </w:t>
      </w:r>
    </w:p>
    <w:p w14:paraId="25E7A6A8" w14:textId="77777777" w:rsidR="0080073D" w:rsidRDefault="0080073D" w:rsidP="0080073D"/>
    <w:p w14:paraId="42F14429" w14:textId="77777777" w:rsidR="002E69F2" w:rsidRPr="002765AE" w:rsidRDefault="002765AE">
      <w:pPr>
        <w:rPr>
          <w:b/>
        </w:rPr>
      </w:pPr>
      <w:r w:rsidRPr="002765AE">
        <w:rPr>
          <w:b/>
        </w:rPr>
        <w:t>Exposition von Anwendern und Arbeitskräften</w:t>
      </w:r>
    </w:p>
    <w:p w14:paraId="3CD0BD86" w14:textId="0E21B6DC" w:rsidR="002765AE" w:rsidRDefault="002765AE" w:rsidP="002765AE">
      <w:r>
        <w:t>Anwender können beim Anmischen der Spritzbrühe in direkten Kontakt mit den konzentrierten Mitteln kommen, etwa durch Spritzer auf der Haut oder ins Auge. Während der Ausbringung und nachfolgenden Reinigung der Geräte entstehen Risiken in erster Linie durch Hautkontakt mit verdünnten Mitteln und Sprühnebel.</w:t>
      </w:r>
      <w:r w:rsidR="00E83D94">
        <w:t xml:space="preserve"> </w:t>
      </w:r>
      <w:r w:rsidR="00E83D94" w:rsidRPr="00E83D94">
        <w:t>Das Einatmen von Sprühnebel trägt normalerweise zu einem geringeren Teil der gesamten Exposition bei.</w:t>
      </w:r>
      <w:r>
        <w:t xml:space="preserve"> </w:t>
      </w:r>
    </w:p>
    <w:p w14:paraId="2F039559" w14:textId="4CCAD896" w:rsidR="002765AE" w:rsidRDefault="002765AE">
      <w:r>
        <w:t>Arbeitskräfte dürfen behandelte Kulturen erst nach dem Abtrocknen des Spr</w:t>
      </w:r>
      <w:r w:rsidR="0065752C">
        <w:t>itz</w:t>
      </w:r>
      <w:r>
        <w:t>belag</w:t>
      </w:r>
      <w:r w:rsidR="0065752C">
        <w:t>e</w:t>
      </w:r>
      <w:r>
        <w:t>s be</w:t>
      </w:r>
      <w:r w:rsidR="0080073D">
        <w:t>tret</w:t>
      </w:r>
      <w:r>
        <w:t>en. Doch auch die angetrocknete</w:t>
      </w:r>
      <w:r w:rsidR="0080073D">
        <w:t>n</w:t>
      </w:r>
      <w:r>
        <w:t xml:space="preserve"> Rückstände auf Blattoberflächen können bei ungeschütztem Hautkontakt zu eine</w:t>
      </w:r>
      <w:r w:rsidR="0065752C">
        <w:t>r</w:t>
      </w:r>
      <w:r>
        <w:t xml:space="preserve"> ungewollten </w:t>
      </w:r>
      <w:r w:rsidR="0065752C">
        <w:t>Exposition</w:t>
      </w:r>
      <w:r>
        <w:t xml:space="preserve"> mit den Wirkstoffen führen. Bei Arbeiten in feuchte</w:t>
      </w:r>
      <w:r w:rsidR="0080073D">
        <w:t>n</w:t>
      </w:r>
      <w:r>
        <w:t xml:space="preserve"> Beständen (Tau, Regen) oder bei Kontakt mit schweißnasser Haut wird der Übergang auf die Haut und damit die mögliche Aufnahme von Wirkstoffen aus den Pflanzenschutzmitteln </w:t>
      </w:r>
      <w:r w:rsidR="00611AA0">
        <w:t xml:space="preserve">weiter </w:t>
      </w:r>
      <w:r>
        <w:t>gesteigert.</w:t>
      </w:r>
    </w:p>
    <w:p w14:paraId="37853EBD" w14:textId="77777777" w:rsidR="002765AE" w:rsidRDefault="002765AE" w:rsidP="002765AE">
      <w:pPr>
        <w:rPr>
          <w:b/>
        </w:rPr>
      </w:pPr>
    </w:p>
    <w:p w14:paraId="0DC4B679" w14:textId="77777777" w:rsidR="002765AE" w:rsidRPr="0085660A" w:rsidRDefault="002765AE" w:rsidP="002765AE">
      <w:pPr>
        <w:rPr>
          <w:b/>
        </w:rPr>
      </w:pPr>
      <w:r w:rsidRPr="0085660A">
        <w:rPr>
          <w:b/>
        </w:rPr>
        <w:t>Ableitung von Risikominderungsmaßnahmen</w:t>
      </w:r>
    </w:p>
    <w:p w14:paraId="4E990351" w14:textId="77777777" w:rsidR="00F6282D" w:rsidRDefault="002765AE" w:rsidP="002765AE">
      <w:r>
        <w:lastRenderedPageBreak/>
        <w:t>Einleitend wurde bereits ausgeführt, dass Pflanzenschutzmittel und insbesondere die enthaltenen Wirkstoffe negative Auswirkungen auf die Gesundheit des Menschen haben können. In der EU dürfen nur Wirkstoffe eingesetzt werden, die zuvor ein Genehmigungsverfahren unter Beteiligung aller Mitgliedsstaaten sowie d</w:t>
      </w:r>
      <w:r w:rsidR="00F6282D">
        <w:t>er</w:t>
      </w:r>
      <w:r>
        <w:t xml:space="preserve"> Europäische Behörde für Lebensmittelsicherheit (EFSA) durchlaufen haben. Dabei werden unter anderem </w:t>
      </w:r>
      <w:r w:rsidR="002A37BC">
        <w:t>gesundheitliche</w:t>
      </w:r>
      <w:r>
        <w:t xml:space="preserve"> Grenzwerte festgelegt, die nicht überschritten werden dürfen. </w:t>
      </w:r>
    </w:p>
    <w:p w14:paraId="5F211F94" w14:textId="58E1E857" w:rsidR="002765AE" w:rsidRDefault="002765AE" w:rsidP="002765AE">
      <w:r>
        <w:t xml:space="preserve">Welche Mengen an Wirkstoff von Anwendern und Arbeitskräften </w:t>
      </w:r>
      <w:r w:rsidR="00F6282D">
        <w:t xml:space="preserve">bei normalem Umgang mit Pflanzenschutzmitteln </w:t>
      </w:r>
      <w:r>
        <w:t>auf</w:t>
      </w:r>
      <w:r w:rsidR="0065752C">
        <w:t>genommen werden, wird mit Berechnungs</w:t>
      </w:r>
      <w:r>
        <w:t xml:space="preserve">modellen abgeschätzt. Diese Modelle werden ebenfalls in der gesamten EU </w:t>
      </w:r>
      <w:r w:rsidR="002A37BC">
        <w:t xml:space="preserve">einheitlich </w:t>
      </w:r>
      <w:r>
        <w:t>verwendet</w:t>
      </w:r>
      <w:r w:rsidR="00F6282D">
        <w:t>. S</w:t>
      </w:r>
      <w:r>
        <w:t xml:space="preserve">ie basieren auf umfangreichen praktischen Studien, </w:t>
      </w:r>
      <w:r w:rsidR="002A37BC">
        <w:t>mit denen in Freilandv</w:t>
      </w:r>
      <w:r w:rsidR="00F6282D">
        <w:t>ersuch</w:t>
      </w:r>
      <w:r w:rsidR="002A37BC">
        <w:t>en</w:t>
      </w:r>
      <w:r w:rsidR="00F6282D">
        <w:t xml:space="preserve"> ermittelt wurde, wie viel </w:t>
      </w:r>
      <w:r>
        <w:t xml:space="preserve">Sprühnebel </w:t>
      </w:r>
      <w:r w:rsidR="00F6282D">
        <w:t xml:space="preserve">z. B. auf einem Anwender ohne Traktorkabine landet </w:t>
      </w:r>
      <w:r>
        <w:t xml:space="preserve">oder </w:t>
      </w:r>
      <w:r w:rsidR="00F6282D">
        <w:t>wie</w:t>
      </w:r>
      <w:r w:rsidR="00611AA0">
        <w:t xml:space="preserve"> </w:t>
      </w:r>
      <w:r w:rsidR="00F6282D">
        <w:t xml:space="preserve">viel </w:t>
      </w:r>
      <w:r>
        <w:t>Wirkstoff</w:t>
      </w:r>
      <w:r w:rsidR="00F6282D">
        <w:t xml:space="preserve"> bei üblichen Arbeiten im Weinberg von</w:t>
      </w:r>
      <w:r>
        <w:t xml:space="preserve"> behandelten Blattoberflächen</w:t>
      </w:r>
      <w:r w:rsidR="00F6282D">
        <w:t xml:space="preserve"> auf die Körperoberfläche der Arbeitskräfte übergeht</w:t>
      </w:r>
      <w:r>
        <w:t>.</w:t>
      </w:r>
      <w:r w:rsidR="00F6282D">
        <w:t xml:space="preserve"> </w:t>
      </w:r>
      <w:r w:rsidR="00E26730">
        <w:t xml:space="preserve">Dabei sind Art und Intensität des Kontaktes mit den behandelten Pflanzen stark von der Kultur (z. B. </w:t>
      </w:r>
      <w:r w:rsidR="00E83D94">
        <w:t>Getreide oder Weinreben</w:t>
      </w:r>
      <w:r w:rsidR="00E26730">
        <w:t xml:space="preserve">) und der betreffenden Tätigkeit (z. B. Inspektion oder Laubarbeiten) abhängig. </w:t>
      </w:r>
      <w:r w:rsidR="00F6282D">
        <w:t>Ins</w:t>
      </w:r>
      <w:r w:rsidR="00E26730">
        <w:t xml:space="preserve">gesamt haben </w:t>
      </w:r>
      <w:r w:rsidR="00F6282D">
        <w:t>die Expositionsberechnungen</w:t>
      </w:r>
      <w:r w:rsidR="00E26730">
        <w:t xml:space="preserve"> nicht das Ziel, vorsorglichen Schutz zu bieten, sondern vielmehr </w:t>
      </w:r>
      <w:r w:rsidR="00F6282D">
        <w:t xml:space="preserve">die </w:t>
      </w:r>
      <w:r w:rsidR="00E26730">
        <w:t>tatsächliche Exposition möglichst r</w:t>
      </w:r>
      <w:r w:rsidR="00F6282D">
        <w:t>eali</w:t>
      </w:r>
      <w:r w:rsidR="00E26730">
        <w:t xml:space="preserve">stisch </w:t>
      </w:r>
      <w:r w:rsidR="00F6282D">
        <w:t>ab</w:t>
      </w:r>
      <w:r w:rsidR="00E26730">
        <w:t>zubilden</w:t>
      </w:r>
      <w:r w:rsidR="00F6282D">
        <w:t xml:space="preserve">. </w:t>
      </w:r>
    </w:p>
    <w:p w14:paraId="14C552DA" w14:textId="77777777" w:rsidR="0065752C" w:rsidRDefault="00F6282D" w:rsidP="002765AE">
      <w:r>
        <w:t xml:space="preserve">Ergeben die Berechnungen, dass der </w:t>
      </w:r>
      <w:r w:rsidR="00E26730">
        <w:t xml:space="preserve">zulässige </w:t>
      </w:r>
      <w:r>
        <w:t xml:space="preserve">Grenzwert für Anwender oder Arbeitskräfte überschritten wird, erfolgt eine Neuberechnung unter Berücksichtigung von PSA. </w:t>
      </w:r>
      <w:r w:rsidR="0065752C">
        <w:t>Dabei geht es im Wesentlichen darum</w:t>
      </w:r>
      <w:r w:rsidR="00611AA0">
        <w:t>,</w:t>
      </w:r>
      <w:r w:rsidR="0065752C">
        <w:t xml:space="preserve"> den Hautkontakt durch geeignete Schutzbekleidung zu verringern.</w:t>
      </w:r>
      <w:r w:rsidR="001A152A">
        <w:t xml:space="preserve"> Mit der Zulassung wird nur die für den ausreichenden Schutz der Gesundheit notwendige PSA </w:t>
      </w:r>
      <w:r w:rsidR="00E26730">
        <w:t xml:space="preserve">als Anwendungsbestimmung </w:t>
      </w:r>
      <w:r w:rsidR="001A152A">
        <w:t>vorgeschrieben.</w:t>
      </w:r>
    </w:p>
    <w:p w14:paraId="71081FC0" w14:textId="7BD316B6" w:rsidR="0065752C" w:rsidRDefault="0065752C" w:rsidP="002765AE">
      <w:r>
        <w:t xml:space="preserve">Für Anwender </w:t>
      </w:r>
      <w:r w:rsidR="001A152A">
        <w:t>wird bei der Schutzausrüstung zwischen Ansetzen der Spritzflüssigkeit und Ausbringung unterschieden. Beim Ansetzen werden</w:t>
      </w:r>
      <w:r>
        <w:t xml:space="preserve"> üblicherweise Schutzhandschuhe</w:t>
      </w:r>
      <w:r w:rsidR="001A152A">
        <w:t xml:space="preserve"> mit hohem Schutzniveau</w:t>
      </w:r>
      <w:r w:rsidR="00611AA0">
        <w:t>,</w:t>
      </w:r>
      <w:r>
        <w:t xml:space="preserve"> </w:t>
      </w:r>
      <w:r w:rsidR="001A152A">
        <w:t>gefolgt von Schutzbekleidung für den Körper (Schutzanzüge oder Ärmelschürzen) berücksichtigt. In Einzelfällen kann Schutz für Kopf, Gesicht und die Augen erforderlich werden.</w:t>
      </w:r>
    </w:p>
    <w:p w14:paraId="5FB70F8B" w14:textId="77777777" w:rsidR="002765AE" w:rsidRDefault="002765AE" w:rsidP="002765AE">
      <w:r>
        <w:t>Anwender m</w:t>
      </w:r>
      <w:r w:rsidR="002A37BC">
        <w:t>ü</w:t>
      </w:r>
      <w:r>
        <w:t>ss</w:t>
      </w:r>
      <w:r w:rsidR="002A37BC">
        <w:t>en</w:t>
      </w:r>
      <w:r>
        <w:t xml:space="preserve"> zusätzlich vor </w:t>
      </w:r>
      <w:r w:rsidR="00F6282D">
        <w:t xml:space="preserve">besonders </w:t>
      </w:r>
      <w:r>
        <w:t>gefährlichen Eigenschaften des Mittels geschützt werden. Bei stark augenschädigenden Mitteln wird beispielsweise das Tragen einer Schutzbrille vorgeschrieben</w:t>
      </w:r>
      <w:r w:rsidR="0080073D">
        <w:t>, um nachhaltigem Schaden durch Spritzer vorzubeugen</w:t>
      </w:r>
      <w:r>
        <w:t>.</w:t>
      </w:r>
    </w:p>
    <w:p w14:paraId="0CDC3F03" w14:textId="65552438" w:rsidR="003A38FC" w:rsidRDefault="001A152A" w:rsidP="001A152A">
      <w:r>
        <w:t xml:space="preserve">Auch die Risikominderungsmaßnahmen für Arbeitskräfte bei Nachfolgetätigkeiten zielen darauf ab, den Hautkontakt </w:t>
      </w:r>
      <w:r w:rsidR="00611AA0">
        <w:t>mit</w:t>
      </w:r>
      <w:r>
        <w:t xml:space="preserve"> </w:t>
      </w:r>
      <w:r w:rsidR="003B4886">
        <w:t>an</w:t>
      </w:r>
      <w:r>
        <w:t>getrockneten Rückständen des Mittels zu reduzieren, wenn der Grenzwert überschritten wird. Im ersten Schritt werden</w:t>
      </w:r>
      <w:r w:rsidR="003A38FC">
        <w:t xml:space="preserve"> hierfür im </w:t>
      </w:r>
      <w:r w:rsidR="003B4886">
        <w:t>Rechenmodell</w:t>
      </w:r>
      <w:r w:rsidR="003A38FC">
        <w:t xml:space="preserve"> lange </w:t>
      </w:r>
      <w:r>
        <w:t xml:space="preserve">Arbeitskleidung und festes Schuhwerk als Schutzmaßnahme betrachtet, denn oft besteht bei Nachfolgetätigkeiten intensiver Kontakt mit den behandelten Pflanzen über die Beine und Arme. Ist weiterhin von einer Überschreitung des Grenzwerts auszugehen, </w:t>
      </w:r>
      <w:r w:rsidR="003A38FC">
        <w:t>wird die Berechnung unter Berücksichtigung von Schutzh</w:t>
      </w:r>
      <w:r>
        <w:t xml:space="preserve">andschuhen </w:t>
      </w:r>
      <w:r w:rsidR="003A38FC">
        <w:t>wiederholt</w:t>
      </w:r>
      <w:r>
        <w:t>.</w:t>
      </w:r>
      <w:r w:rsidR="003B4886" w:rsidRPr="003B4886">
        <w:t xml:space="preserve"> </w:t>
      </w:r>
      <w:r w:rsidR="003B4886">
        <w:t>Anwendungsbestimmungen für PSA bei Nachfolgetätigkeiten w</w:t>
      </w:r>
      <w:r w:rsidR="00331DD8">
        <w:t>e</w:t>
      </w:r>
      <w:r w:rsidR="003B4886">
        <w:t>rd</w:t>
      </w:r>
      <w:r w:rsidR="00331DD8">
        <w:t>en nur</w:t>
      </w:r>
      <w:r w:rsidR="003B4886">
        <w:t xml:space="preserve"> für </w:t>
      </w:r>
      <w:r w:rsidR="00331DD8">
        <w:t>den notwendigen Zeitraum</w:t>
      </w:r>
      <w:r w:rsidR="003B4886">
        <w:t xml:space="preserve"> in Tagen nach der Anwendung</w:t>
      </w:r>
      <w:r w:rsidR="00331DD8">
        <w:t xml:space="preserve"> festgelegt. Hierbei wird </w:t>
      </w:r>
      <w:r w:rsidR="00E83D94">
        <w:t xml:space="preserve">berücksichtigt, dass die Menge an Wirkstoff auf den Blattoberflächen mit der Zeit abnimmt. </w:t>
      </w:r>
    </w:p>
    <w:p w14:paraId="7869FEB3" w14:textId="4632A983" w:rsidR="00331DD8" w:rsidRDefault="001A152A" w:rsidP="001A152A">
      <w:r>
        <w:t>Nur wenn auch diese Maßnahme</w:t>
      </w:r>
      <w:r w:rsidR="003A38FC">
        <w:t>n nicht ausreichen,</w:t>
      </w:r>
      <w:r>
        <w:t xml:space="preserve"> werden </w:t>
      </w:r>
      <w:r w:rsidR="003A38FC">
        <w:t xml:space="preserve">zusätzlich Beschränkungen für die tägliche </w:t>
      </w:r>
      <w:r>
        <w:t xml:space="preserve">Arbeitszeit in Betracht gezogen. </w:t>
      </w:r>
      <w:r w:rsidR="003A38FC">
        <w:t>Dem BVL ist bewusst, dass d</w:t>
      </w:r>
      <w:r>
        <w:t xml:space="preserve">iese Einschränkungen in der Praxis </w:t>
      </w:r>
      <w:r w:rsidR="003A38FC">
        <w:t xml:space="preserve">und gerade im Weinbau </w:t>
      </w:r>
      <w:r>
        <w:t>problematisch sein</w:t>
      </w:r>
      <w:r w:rsidR="003A38FC">
        <w:t xml:space="preserve"> können</w:t>
      </w:r>
      <w:r>
        <w:t>, da viele Nachfolgetätigkeiten längere tägliche Arbeitszeiten in der Kultur erfordern</w:t>
      </w:r>
      <w:r w:rsidR="003A38FC">
        <w:t xml:space="preserve"> und nicht beliebig aufgeschoben werden können</w:t>
      </w:r>
      <w:r>
        <w:t xml:space="preserve">. Deshalb handelt es sich hierbei um ein letztes Mittel, </w:t>
      </w:r>
      <w:r w:rsidR="003A38FC">
        <w:t xml:space="preserve">um betroffene </w:t>
      </w:r>
      <w:r w:rsidR="00331DD8">
        <w:t>Anwendungen</w:t>
      </w:r>
      <w:r w:rsidR="003A38FC">
        <w:t xml:space="preserve"> </w:t>
      </w:r>
      <w:r w:rsidR="005701D5">
        <w:t>zulassen zu können</w:t>
      </w:r>
      <w:r w:rsidR="00331DD8">
        <w:t>, ohne</w:t>
      </w:r>
      <w:r w:rsidR="001279F2">
        <w:t xml:space="preserve"> die</w:t>
      </w:r>
      <w:r w:rsidR="00331DD8">
        <w:t xml:space="preserve"> Gesundheit der Arbeitskräfte zu gefährden</w:t>
      </w:r>
      <w:r w:rsidR="00E83D94">
        <w:t>.</w:t>
      </w:r>
      <w:r>
        <w:t xml:space="preserve"> </w:t>
      </w:r>
    </w:p>
    <w:p w14:paraId="155D041A" w14:textId="00FC9B5C" w:rsidR="001A152A" w:rsidRDefault="001A152A" w:rsidP="001A152A">
      <w:r>
        <w:t xml:space="preserve">Grundsätzlich werden in der Pflanzenschutzmittelzulassung nur </w:t>
      </w:r>
      <w:r w:rsidR="003A38FC">
        <w:t xml:space="preserve">Anwendungsbestimmungen mit </w:t>
      </w:r>
      <w:r>
        <w:t>praxistaugliche</w:t>
      </w:r>
      <w:r w:rsidR="001279F2">
        <w:t>n</w:t>
      </w:r>
      <w:r>
        <w:t xml:space="preserve"> </w:t>
      </w:r>
      <w:r w:rsidR="003A38FC">
        <w:t xml:space="preserve">Zeitintervallen </w:t>
      </w:r>
      <w:r>
        <w:t xml:space="preserve">angestrebt. </w:t>
      </w:r>
      <w:r w:rsidR="00331DD8">
        <w:t xml:space="preserve">Im Zuge des zonalen Zulassungsverfahrens erfolgt die </w:t>
      </w:r>
      <w:r w:rsidR="00331DD8">
        <w:lastRenderedPageBreak/>
        <w:t xml:space="preserve">Bewertung von Pflanzenschutzmitteln ggf. durch </w:t>
      </w:r>
      <w:r w:rsidR="001279F2">
        <w:t>einen anderen EU-Mitgliedsstaat</w:t>
      </w:r>
      <w:r w:rsidR="00331DD8">
        <w:t xml:space="preserve">. Die Ergebnisse dieser Bewertung sind aus rechtlichen Gründen zu übernehmen. Dabei kann es in Einzelfällen dazu kommen, dass auch Anwendungsbestimmungen übernommen werden müssen, die die Grenzen der </w:t>
      </w:r>
      <w:r w:rsidR="00246F53">
        <w:t xml:space="preserve">in Deutschland praxisüblichen Nachfolgetätigkeiten </w:t>
      </w:r>
      <w:r w:rsidR="00331DD8">
        <w:t>strapazieren.</w:t>
      </w:r>
    </w:p>
    <w:p w14:paraId="2C7322A7" w14:textId="77777777" w:rsidR="002765AE" w:rsidRDefault="002765AE"/>
    <w:p w14:paraId="580525E7" w14:textId="77777777" w:rsidR="002765AE" w:rsidRDefault="002765AE" w:rsidP="002765AE">
      <w:pPr>
        <w:rPr>
          <w:b/>
        </w:rPr>
      </w:pPr>
      <w:r w:rsidRPr="0085660A">
        <w:rPr>
          <w:b/>
        </w:rPr>
        <w:t>Risikominderung durch persönliche Schutzausrüstung</w:t>
      </w:r>
    </w:p>
    <w:p w14:paraId="097BB704" w14:textId="1E5E16F0" w:rsidR="00E2583E" w:rsidRDefault="00E2583E" w:rsidP="002765AE">
      <w:r>
        <w:t>Das BVL hat im Internet eine Informationsplattform zur Anwendungssicherheit eingerichtet (</w:t>
      </w:r>
      <w:r w:rsidRPr="00E2583E">
        <w:rPr>
          <w:color w:val="FF0000"/>
        </w:rPr>
        <w:t>siehe Kasten</w:t>
      </w:r>
      <w:r>
        <w:t xml:space="preserve">). Kriterien für die Eignung und die Auswahl der richtigen PSA sind dort </w:t>
      </w:r>
      <w:r w:rsidR="001279F2">
        <w:t>aufgeführt</w:t>
      </w:r>
      <w:r>
        <w:t>. Sowohl Schutzanzüge als auch Schutzhandschuhe sind in verschiedene</w:t>
      </w:r>
      <w:r w:rsidR="000F4258">
        <w:t>n</w:t>
      </w:r>
      <w:r>
        <w:t xml:space="preserve"> Schutzniveau</w:t>
      </w:r>
      <w:r w:rsidR="000F4258">
        <w:t>s</w:t>
      </w:r>
      <w:r>
        <w:t xml:space="preserve"> für unterschiedliche Einsatzbereiche verfügbar. Eine verlinkte Fachinformation zeigt eine Zuordnung von geeigneten Schutzhandschuhen verschiedener Schutzstufen zu verschiedenen Tätigkeiten im Pflanzenschutz. Für den Einsatz bei Nachfolgetätigkeiten im Weinbau von besonderer Bedeutung sind teilbeschichtet</w:t>
      </w:r>
      <w:r w:rsidR="005423A1">
        <w:t>e</w:t>
      </w:r>
      <w:r>
        <w:t xml:space="preserve"> „GR“-Schutzhandschuhe, die langfristiges</w:t>
      </w:r>
      <w:r w:rsidR="00E50712">
        <w:t>,</w:t>
      </w:r>
      <w:r>
        <w:t xml:space="preserve"> komfortables Arbeiten ermöglichen. </w:t>
      </w:r>
    </w:p>
    <w:p w14:paraId="6A28C860" w14:textId="3A6BA93E" w:rsidR="00331DD8" w:rsidRDefault="005423A1" w:rsidP="002765AE">
      <w:r>
        <w:t xml:space="preserve">Unabhängig von der Wirksamkeit von PSA ist technischen Lösungen zur Vermeidung einer Exposition mit Pflanzenschutzmitteln immer der Vorzug zu geben. In Deutschland gilt, dass </w:t>
      </w:r>
      <w:r w:rsidR="00660780">
        <w:t xml:space="preserve">dicht schließende </w:t>
      </w:r>
      <w:r>
        <w:t>Traktorkabinen</w:t>
      </w:r>
      <w:r w:rsidR="00660780">
        <w:t xml:space="preserve"> mit</w:t>
      </w:r>
      <w:r>
        <w:t xml:space="preserve"> eine</w:t>
      </w:r>
      <w:r w:rsidR="00660780">
        <w:t>r</w:t>
      </w:r>
      <w:r>
        <w:t xml:space="preserve"> Klimaanlage mit Zuluftfilterung geeignet sind, PSA zum Schutz der Haut und der Augen zu ersetzen. Auf der Internetseite gibt das BVL Kabinen-Register eine Übersicht geeignete</w:t>
      </w:r>
      <w:r w:rsidR="00660780">
        <w:t>r</w:t>
      </w:r>
      <w:r>
        <w:t xml:space="preserve"> Fahrzeuge, die dem BVL gemeldet wurden.</w:t>
      </w:r>
    </w:p>
    <w:p w14:paraId="399C065C" w14:textId="1AA2A478" w:rsidR="002765AE" w:rsidRPr="0085660A" w:rsidRDefault="002765AE" w:rsidP="002765AE">
      <w:pPr>
        <w:rPr>
          <w:i/>
        </w:rPr>
      </w:pPr>
      <w:r w:rsidRPr="0085660A">
        <w:rPr>
          <w:i/>
        </w:rPr>
        <w:t>Info-Kasten „BVL-Informationen zur PSA“</w:t>
      </w:r>
    </w:p>
    <w:p w14:paraId="31ACB816" w14:textId="77777777" w:rsidR="002765AE" w:rsidRPr="0085660A" w:rsidRDefault="002765AE" w:rsidP="002765AE">
      <w:pPr>
        <w:rPr>
          <w:i/>
        </w:rPr>
      </w:pPr>
      <w:r w:rsidRPr="0085660A">
        <w:rPr>
          <w:i/>
        </w:rPr>
        <w:t xml:space="preserve">Weitere Informationen zur persönlichen Schutzausrüstung sind unter www.bvl.bund.de/psa abrufbar. Neben </w:t>
      </w:r>
      <w:r w:rsidR="005423A1">
        <w:rPr>
          <w:i/>
        </w:rPr>
        <w:t xml:space="preserve">allgemeinen Hinweisen zu Vorschriften, zur Eignung und zum Einsatz von PSA im Pflanzenschutz ist dort </w:t>
      </w:r>
      <w:r w:rsidRPr="0085660A">
        <w:rPr>
          <w:i/>
        </w:rPr>
        <w:t>ein Verzeichnis geeigneter Schutzausrüstung mit Bezugsquellen verlinkt.</w:t>
      </w:r>
    </w:p>
    <w:p w14:paraId="4A1EF477" w14:textId="77777777" w:rsidR="002765AE" w:rsidRDefault="002765AE" w:rsidP="002765AE"/>
    <w:p w14:paraId="20955638" w14:textId="77777777" w:rsidR="002765AE" w:rsidRPr="0085660A" w:rsidRDefault="002765AE" w:rsidP="002765AE">
      <w:pPr>
        <w:rPr>
          <w:b/>
        </w:rPr>
      </w:pPr>
      <w:r>
        <w:rPr>
          <w:b/>
        </w:rPr>
        <w:t>Persönliche Schutzausrüstung</w:t>
      </w:r>
      <w:r w:rsidRPr="0085660A">
        <w:rPr>
          <w:b/>
        </w:rPr>
        <w:t xml:space="preserve"> in der Praxis</w:t>
      </w:r>
    </w:p>
    <w:p w14:paraId="1C1965C8" w14:textId="77777777" w:rsidR="00440455" w:rsidRDefault="00800DB8" w:rsidP="002765AE">
      <w:r>
        <w:t xml:space="preserve">Auf der Internetseite des BVL und </w:t>
      </w:r>
      <w:r w:rsidR="00440455">
        <w:t>in der Beratung</w:t>
      </w:r>
      <w:r w:rsidR="002765AE">
        <w:t xml:space="preserve"> wird für </w:t>
      </w:r>
      <w:r w:rsidR="002765AE" w:rsidRPr="002869EE">
        <w:rPr>
          <w:b/>
        </w:rPr>
        <w:t>Anwender</w:t>
      </w:r>
      <w:r w:rsidR="002765AE">
        <w:t xml:space="preserve"> in der Regel ein Standard-Schutzpaket empfohlen, welches </w:t>
      </w:r>
      <w:r>
        <w:t xml:space="preserve">praxistauglich ist und </w:t>
      </w:r>
      <w:r w:rsidR="002765AE">
        <w:t xml:space="preserve">die </w:t>
      </w:r>
      <w:r>
        <w:t>Vorschriften zur Schutzausrüstung für die</w:t>
      </w:r>
      <w:r w:rsidR="002765AE">
        <w:t xml:space="preserve"> meisten Produkte </w:t>
      </w:r>
      <w:r>
        <w:t xml:space="preserve">ausreichend </w:t>
      </w:r>
      <w:r w:rsidR="002765AE">
        <w:t xml:space="preserve">abdeckt. </w:t>
      </w:r>
    </w:p>
    <w:p w14:paraId="15626F6B" w14:textId="141E2345" w:rsidR="00800DB8" w:rsidRDefault="00440455" w:rsidP="002765AE">
      <w:r>
        <w:t>Lange</w:t>
      </w:r>
      <w:r w:rsidR="002765AE">
        <w:t xml:space="preserve"> </w:t>
      </w:r>
      <w:r w:rsidR="002765AE" w:rsidRPr="00B906E4">
        <w:t>Arbeitskleidung und feste</w:t>
      </w:r>
      <w:r>
        <w:t>s</w:t>
      </w:r>
      <w:r w:rsidR="002765AE" w:rsidRPr="00B906E4">
        <w:t xml:space="preserve"> Schuhwerk </w:t>
      </w:r>
      <w:r>
        <w:t xml:space="preserve">sind beim Umgang mit Pflanzenschutzmitteln vorgeschrieben. Als Standard-Schutzausrüstung beim Ansetzen von Spritzflüssigkeit und Befüllen der Spritze empfiehlt das BVL, immer Schutzhandschuhe, eine Ärmelschürze und ein Gesichtsschild zu tragen. Diese drei Elemente ermöglichen einen umfassenden Schutz der Körperoberfläche und lassen sich in der Praxis schnell an- und ausziehen. </w:t>
      </w:r>
      <w:r w:rsidR="00800DB8">
        <w:t>Insbesondere beim Einsatz geeigneter Traktorkabine</w:t>
      </w:r>
      <w:r>
        <w:t xml:space="preserve">n ist </w:t>
      </w:r>
      <w:r>
        <w:lastRenderedPageBreak/>
        <w:t>kein weiterer Schutz von H</w:t>
      </w:r>
      <w:r w:rsidR="00800DB8">
        <w:t>aut und Augen erforderlich.</w:t>
      </w:r>
      <w:r w:rsidR="00711CE6" w:rsidRPr="00711CE6">
        <w:rPr>
          <w:noProof/>
          <w:lang w:eastAsia="de-DE"/>
        </w:rPr>
        <w:t xml:space="preserve"> </w:t>
      </w:r>
      <w:r w:rsidR="00711CE6">
        <w:rPr>
          <w:noProof/>
          <w:lang w:eastAsia="de-DE"/>
        </w:rPr>
        <w:drawing>
          <wp:inline distT="0" distB="0" distL="0" distR="0" wp14:anchorId="3EF73C2D" wp14:editId="2DCC5D25">
            <wp:extent cx="3017520" cy="2011680"/>
            <wp:effectExtent l="0" t="0" r="0" b="7620"/>
            <wp:docPr id="2" name="Grafik 2" descr="C:\Users\schlawisc73\AppData\Local\Microsoft\Windows\INetCache\Content.Word\IMG_5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lawisc73\AppData\Local\Microsoft\Windows\INetCache\Content.Word\IMG_5216.JP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3035960" cy="2023973"/>
                    </a:xfrm>
                    <a:prstGeom prst="rect">
                      <a:avLst/>
                    </a:prstGeom>
                    <a:noFill/>
                    <a:ln>
                      <a:noFill/>
                    </a:ln>
                  </pic:spPr>
                </pic:pic>
              </a:graphicData>
            </a:graphic>
          </wp:inline>
        </w:drawing>
      </w:r>
    </w:p>
    <w:p w14:paraId="7C6D706B" w14:textId="77777777" w:rsidR="00FA1BCD" w:rsidRDefault="00440455" w:rsidP="002765AE">
      <w:r>
        <w:t xml:space="preserve">Auch bei </w:t>
      </w:r>
      <w:r>
        <w:rPr>
          <w:rStyle w:val="Fett"/>
        </w:rPr>
        <w:t>Nachfolgetätigkeiten</w:t>
      </w:r>
      <w:r>
        <w:t xml:space="preserve"> in behandelten Kulturen können Arbeitskräfte mit Pflanzenschutzmitteln in Kontakt kommen. </w:t>
      </w:r>
      <w:r w:rsidR="00ED50C0">
        <w:t xml:space="preserve">Das BVL </w:t>
      </w:r>
      <w:r>
        <w:t>empfiehlt</w:t>
      </w:r>
      <w:r w:rsidR="00E50712">
        <w:t xml:space="preserve"> auch hier</w:t>
      </w:r>
      <w:r>
        <w:t xml:space="preserve">, immer lange Arbeitskleidung </w:t>
      </w:r>
      <w:r w:rsidR="00ED50C0">
        <w:t xml:space="preserve">und festes Schuhwerk </w:t>
      </w:r>
      <w:r>
        <w:t>zu tragen</w:t>
      </w:r>
      <w:r w:rsidR="00E50712">
        <w:t xml:space="preserve">, selbst </w:t>
      </w:r>
      <w:r w:rsidR="00ED50C0">
        <w:t>w</w:t>
      </w:r>
      <w:r>
        <w:t xml:space="preserve">enn dies aufgrund der Risikobewertung </w:t>
      </w:r>
      <w:r w:rsidR="00ED50C0">
        <w:t xml:space="preserve">nicht vorgeschrieben </w:t>
      </w:r>
      <w:r>
        <w:t>ist</w:t>
      </w:r>
      <w:r w:rsidR="00ED50C0">
        <w:t>.</w:t>
      </w:r>
      <w:r w:rsidR="00E50712">
        <w:t xml:space="preserve"> Neben einem vorsorglichen Schutz gegen Pflanzenschutzmittel ergibt sich dadurch ein wirksamer Schutz gegen UV-Belastungen </w:t>
      </w:r>
      <w:r w:rsidR="00660780">
        <w:t xml:space="preserve">sowie </w:t>
      </w:r>
      <w:r w:rsidR="00E50712">
        <w:t>lästige und ggf. krankheitsübertragende Insekten.</w:t>
      </w:r>
    </w:p>
    <w:p w14:paraId="7C591377" w14:textId="372408AC" w:rsidR="00ED50C0" w:rsidRDefault="00E50712" w:rsidP="002765AE">
      <w:r>
        <w:t xml:space="preserve"> </w:t>
      </w:r>
      <w:r w:rsidR="00FA1BCD">
        <w:rPr>
          <w:noProof/>
          <w:lang w:eastAsia="de-DE"/>
        </w:rPr>
        <w:drawing>
          <wp:inline distT="0" distB="0" distL="0" distR="0" wp14:anchorId="29E3A056" wp14:editId="1C8AC029">
            <wp:extent cx="1566545" cy="2353310"/>
            <wp:effectExtent l="0" t="0" r="0" b="8890"/>
            <wp:docPr id="1" name="Grafik 1" descr="C:\Users\schlawisc73\AppData\Local\Microsoft\Windows\INetCache\Content.Word\DSC04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lawisc73\AppData\Local\Microsoft\Windows\INetCache\Content.Word\DSC044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6545" cy="2353310"/>
                    </a:xfrm>
                    <a:prstGeom prst="rect">
                      <a:avLst/>
                    </a:prstGeom>
                    <a:noFill/>
                    <a:ln>
                      <a:noFill/>
                    </a:ln>
                  </pic:spPr>
                </pic:pic>
              </a:graphicData>
            </a:graphic>
          </wp:inline>
        </w:drawing>
      </w:r>
    </w:p>
    <w:p w14:paraId="004CB3E5" w14:textId="77777777" w:rsidR="00ED50C0" w:rsidRDefault="00ED50C0" w:rsidP="00ED50C0">
      <w:r>
        <w:t xml:space="preserve">Je nach Kulturführung und Behandlungszeitpunkt können unterschiedliche Risikominderungsmaßnahmen für Nachfolgetätigkeiten erforderlich sein. Deswegen empfiehlt sich eine Recherche zu den notwendigen Maßnahmen und Fristen bei konkret geplanten Anwendungen. </w:t>
      </w:r>
    </w:p>
    <w:p w14:paraId="5FAB2B5C" w14:textId="09103AB1" w:rsidR="002765AE" w:rsidRDefault="002765AE" w:rsidP="002765AE">
      <w:r>
        <w:t xml:space="preserve">Für </w:t>
      </w:r>
      <w:r w:rsidR="00ED50C0">
        <w:t xml:space="preserve">zugelassene </w:t>
      </w:r>
      <w:r w:rsidR="00800DB8">
        <w:t>Pflanzenschutzmittel stehen sämtliche Vorschriften für den korrekten Umgang und die vorgeschriebene Schutzausrüstung im Internetangebot des BVL zur Verfügung</w:t>
      </w:r>
      <w:r w:rsidR="00ED50C0">
        <w:t xml:space="preserve"> (</w:t>
      </w:r>
      <w:r w:rsidR="00ED50C0" w:rsidRPr="00ED50C0">
        <w:rPr>
          <w:color w:val="FF0000"/>
        </w:rPr>
        <w:t>link</w:t>
      </w:r>
      <w:r w:rsidR="00ED50C0">
        <w:t>)</w:t>
      </w:r>
      <w:r w:rsidR="00800DB8">
        <w:t xml:space="preserve">. Alternativ kann mit komfortablen Suchfunktionen das Internetangebot von </w:t>
      </w:r>
      <w:r w:rsidR="004C6E0A">
        <w:t>“PS Info“ (</w:t>
      </w:r>
      <w:r w:rsidR="00390CC2">
        <w:t>kurz für „Pflanzenschutz-Informationssystem“</w:t>
      </w:r>
      <w:r w:rsidR="004C6E0A">
        <w:t>)</w:t>
      </w:r>
      <w:r w:rsidR="00800DB8">
        <w:t xml:space="preserve"> genutzt werden.</w:t>
      </w:r>
      <w:r w:rsidR="00E03840" w:rsidRPr="00E03840">
        <w:t xml:space="preserve"> </w:t>
      </w:r>
      <w:r w:rsidR="00E03840">
        <w:t>E</w:t>
      </w:r>
      <w:r w:rsidR="00E03840" w:rsidRPr="00390CC2">
        <w:t xml:space="preserve">ntwickelt und betreut wird </w:t>
      </w:r>
      <w:r w:rsidR="00E5221C">
        <w:t>„</w:t>
      </w:r>
      <w:r w:rsidR="00E03840" w:rsidRPr="00390CC2">
        <w:t>PS Info</w:t>
      </w:r>
      <w:r w:rsidR="00E5221C">
        <w:t>“</w:t>
      </w:r>
      <w:r w:rsidR="00E03840" w:rsidRPr="00390CC2">
        <w:t xml:space="preserve"> vom DLR Rheinpfalz in Neustadt.</w:t>
      </w:r>
      <w:r w:rsidR="00F310EA">
        <w:t xml:space="preserve"> </w:t>
      </w:r>
      <w:r w:rsidR="00E5221C">
        <w:t>„</w:t>
      </w:r>
      <w:r w:rsidR="00E03840" w:rsidRPr="00E03840">
        <w:t>PS Info</w:t>
      </w:r>
      <w:r w:rsidR="00E5221C">
        <w:t>“</w:t>
      </w:r>
      <w:r w:rsidR="00E03840" w:rsidRPr="00E03840">
        <w:t xml:space="preserve"> bietet eine aktuelle und leicht zu recherchierende Übersicht</w:t>
      </w:r>
      <w:r w:rsidR="00E03840">
        <w:t xml:space="preserve"> der aktuellen Zulassungen</w:t>
      </w:r>
      <w:r w:rsidR="005C2ED8">
        <w:t xml:space="preserve">, in denen </w:t>
      </w:r>
      <w:r w:rsidR="00E03840">
        <w:t xml:space="preserve">auch </w:t>
      </w:r>
      <w:r w:rsidR="005C2ED8">
        <w:t>nach Angaben zu</w:t>
      </w:r>
      <w:r w:rsidR="00E03840">
        <w:t xml:space="preserve"> </w:t>
      </w:r>
      <w:r w:rsidR="00390CC2">
        <w:t>notwendigen</w:t>
      </w:r>
      <w:r w:rsidR="00E03840">
        <w:t xml:space="preserve"> Schutzausrüstung und Fristen bei Nachfolgetätigkeiten recherchiert werden</w:t>
      </w:r>
      <w:r w:rsidR="005C2ED8">
        <w:t xml:space="preserve"> kann</w:t>
      </w:r>
      <w:r w:rsidR="00E03840">
        <w:t>.</w:t>
      </w:r>
      <w:r w:rsidR="00390CC2">
        <w:t xml:space="preserve"> </w:t>
      </w:r>
      <w:r w:rsidR="00CE42E0">
        <w:t>D</w:t>
      </w:r>
      <w:r w:rsidR="00E03840" w:rsidRPr="00E03840">
        <w:t xml:space="preserve">ie Kennzeichnungen </w:t>
      </w:r>
      <w:r w:rsidR="00CE42E0">
        <w:t xml:space="preserve">werden </w:t>
      </w:r>
      <w:r w:rsidR="00E03840" w:rsidRPr="00E03840">
        <w:t>in allen Datenblättern der Pflanzenschutzmittel angezeigt und nach „Anwendungsbesti</w:t>
      </w:r>
      <w:r w:rsidR="00E03840">
        <w:t>mmung“ bzw. „Auflage“ sortiert</w:t>
      </w:r>
      <w:r w:rsidR="00E03840" w:rsidRPr="00E03840">
        <w:t xml:space="preserve">. </w:t>
      </w:r>
      <w:r w:rsidR="00CE42E0">
        <w:t xml:space="preserve">Zudem </w:t>
      </w:r>
      <w:r w:rsidR="00E03840" w:rsidRPr="00E03840">
        <w:t xml:space="preserve">erlaubt </w:t>
      </w:r>
      <w:r w:rsidR="00CE42E0">
        <w:t>„</w:t>
      </w:r>
      <w:r w:rsidR="00E03840" w:rsidRPr="00E03840">
        <w:t>PS Info</w:t>
      </w:r>
      <w:r w:rsidR="00CE42E0">
        <w:t>“</w:t>
      </w:r>
      <w:r w:rsidR="00E03840" w:rsidRPr="00E03840">
        <w:t xml:space="preserve"> die Suche über das Kennzeichnungs-Kürzel, um gezielt nach Mitteln und Indikationen mit den gefragten Kennzeichnungen zu recherchieren. Diese Funktion</w:t>
      </w:r>
      <w:r w:rsidR="00CE42E0">
        <w:t xml:space="preserve"> ist auch ein </w:t>
      </w:r>
      <w:r w:rsidR="00E03840" w:rsidRPr="00E03840">
        <w:t>wichtiges Instrument für die Recherche für Umweltauflagen mit besonderer Beachtung (z.B. NN410 - Schutz von Bestäubern).</w:t>
      </w:r>
      <w:r w:rsidR="00390CC2">
        <w:t xml:space="preserve"> Der Zugang zur Datenbank ist frei und kostenlos nutzbar: </w:t>
      </w:r>
      <w:hyperlink r:id="rId9" w:history="1">
        <w:r w:rsidR="00EB19F9" w:rsidRPr="007235CD">
          <w:rPr>
            <w:rStyle w:val="Hyperlink"/>
          </w:rPr>
          <w:t>www.pflanzenschutz-information.de</w:t>
        </w:r>
      </w:hyperlink>
      <w:r w:rsidR="00390CC2">
        <w:t>.</w:t>
      </w:r>
    </w:p>
    <w:p w14:paraId="0A33EC09" w14:textId="77777777" w:rsidR="007239B2" w:rsidRDefault="007239B2" w:rsidP="002765AE"/>
    <w:p w14:paraId="054C8B1B" w14:textId="3F51D13C" w:rsidR="00EB19F9" w:rsidRPr="00DC2FE3" w:rsidRDefault="007239B2" w:rsidP="002765AE">
      <w:pPr>
        <w:rPr>
          <w:b/>
        </w:rPr>
      </w:pPr>
      <w:r w:rsidRPr="00DC2FE3">
        <w:rPr>
          <w:b/>
          <w:i/>
        </w:rPr>
        <w:t xml:space="preserve">Extra-Seite oder Kasten: </w:t>
      </w:r>
      <w:r w:rsidRPr="00DC2FE3">
        <w:rPr>
          <w:b/>
        </w:rPr>
        <w:t xml:space="preserve">Anleitung für die </w:t>
      </w:r>
      <w:r w:rsidR="00EB19F9" w:rsidRPr="00DC2FE3">
        <w:rPr>
          <w:b/>
        </w:rPr>
        <w:t>Recherche in PS Info</w:t>
      </w:r>
    </w:p>
    <w:p w14:paraId="173049D5" w14:textId="63355E01" w:rsidR="009521DB" w:rsidRDefault="00E5221C" w:rsidP="002765AE">
      <w:r>
        <w:t>Die Datenbank</w:t>
      </w:r>
      <w:r w:rsidR="002373A0">
        <w:t xml:space="preserve"> „PS Info“</w:t>
      </w:r>
      <w:r>
        <w:t xml:space="preserve"> ist über die</w:t>
      </w:r>
      <w:r w:rsidR="007F5E94">
        <w:t xml:space="preserve"> Adresse </w:t>
      </w:r>
      <w:hyperlink r:id="rId10" w:history="1">
        <w:r w:rsidR="007F5E94" w:rsidRPr="007235CD">
          <w:rPr>
            <w:rStyle w:val="Hyperlink"/>
          </w:rPr>
          <w:t>www.pflanzenschutz-information.de</w:t>
        </w:r>
      </w:hyperlink>
      <w:r>
        <w:t xml:space="preserve"> erreichbar</w:t>
      </w:r>
      <w:r w:rsidR="007F5E94">
        <w:t>. Mit einem Klick auf die Kachel „Suchen“ wird die Recherche gestartet. Als Voreinstellung öffnet sich die Suchmaske „Indikation“</w:t>
      </w:r>
      <w:r w:rsidR="009521DB">
        <w:t xml:space="preserve">. Die weiteren Suchmasken und Listen können über die Sidebar auf der linken Seite angesteuert werden. </w:t>
      </w:r>
    </w:p>
    <w:p w14:paraId="268C18F1" w14:textId="1B03B29A" w:rsidR="009521DB" w:rsidRPr="00DC2FE3" w:rsidRDefault="009521DB" w:rsidP="002765AE">
      <w:pPr>
        <w:rPr>
          <w:b/>
        </w:rPr>
      </w:pPr>
      <w:r w:rsidRPr="00DC2FE3">
        <w:rPr>
          <w:b/>
        </w:rPr>
        <w:t>Voreinstellungen festlegen</w:t>
      </w:r>
    </w:p>
    <w:p w14:paraId="18FBF875" w14:textId="7E80E296" w:rsidR="00EB19F9" w:rsidRDefault="009521DB" w:rsidP="002765AE">
      <w:r>
        <w:t xml:space="preserve">Um die </w:t>
      </w:r>
      <w:r w:rsidR="00955316">
        <w:t>Ergebnisse auf betriebseigene</w:t>
      </w:r>
      <w:r>
        <w:t xml:space="preserve"> Bedürfnisse zu reduzieren, können übergeordnete Einschränkungen vorgenommen werden. Zum</w:t>
      </w:r>
      <w:r w:rsidR="005C2ED8">
        <w:t xml:space="preserve"> einen</w:t>
      </w:r>
      <w:r w:rsidR="00955316">
        <w:t xml:space="preserve"> über die Auswahl des</w:t>
      </w:r>
      <w:r>
        <w:t xml:space="preserve"> </w:t>
      </w:r>
      <w:r w:rsidR="002373A0">
        <w:t>„Anbau-</w:t>
      </w:r>
      <w:r>
        <w:t>Bereich</w:t>
      </w:r>
      <w:r w:rsidR="00955316">
        <w:t>s</w:t>
      </w:r>
      <w:r w:rsidR="002373A0">
        <w:t>“</w:t>
      </w:r>
      <w:r>
        <w:t xml:space="preserve">. Dafür </w:t>
      </w:r>
      <w:r w:rsidR="002373A0">
        <w:t>werden</w:t>
      </w:r>
      <w:r>
        <w:t xml:space="preserve"> übe</w:t>
      </w:r>
      <w:r w:rsidR="002373A0">
        <w:t>r den Suchmasken Kacheln mit den</w:t>
      </w:r>
      <w:r>
        <w:t xml:space="preserve"> Bezeichnung</w:t>
      </w:r>
      <w:r w:rsidR="002373A0">
        <w:t>en</w:t>
      </w:r>
      <w:r>
        <w:t xml:space="preserve"> „Integrierter Anbau“ und „Ökologischer Anbau“ angezeigt. Zum anderen können die Ergebnislisten </w:t>
      </w:r>
      <w:r w:rsidR="00955316">
        <w:t xml:space="preserve">auf den Weinbau </w:t>
      </w:r>
      <w:r w:rsidR="002D5E45">
        <w:t>reduziert werden</w:t>
      </w:r>
      <w:r>
        <w:t xml:space="preserve">, indem im Bereich „Einsatzgebiete“ nur das Kästchen </w:t>
      </w:r>
      <w:r w:rsidR="005C2ED8">
        <w:t>„Weinbau“ markiert wird</w:t>
      </w:r>
      <w:r>
        <w:t xml:space="preserve">. Diese Einstellungen </w:t>
      </w:r>
      <w:r w:rsidR="005C2ED8">
        <w:t xml:space="preserve">übertragen sich </w:t>
      </w:r>
      <w:r>
        <w:t xml:space="preserve">in alle </w:t>
      </w:r>
      <w:r w:rsidR="002373A0">
        <w:t xml:space="preserve">weiteren </w:t>
      </w:r>
      <w:r>
        <w:t>Suchmasken.</w:t>
      </w:r>
    </w:p>
    <w:p w14:paraId="3F545E32" w14:textId="19FF8B3B" w:rsidR="00387787" w:rsidRDefault="00387787" w:rsidP="002765AE">
      <w:r>
        <w:rPr>
          <w:noProof/>
          <w:lang w:eastAsia="de-DE"/>
        </w:rPr>
        <w:drawing>
          <wp:inline distT="0" distB="0" distL="0" distR="0" wp14:anchorId="7B8D07CF" wp14:editId="21CB4023">
            <wp:extent cx="5760720" cy="32473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PSInfo-Voreinstellung_dlr.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3247390"/>
                    </a:xfrm>
                    <a:prstGeom prst="rect">
                      <a:avLst/>
                    </a:prstGeom>
                    <a:ln>
                      <a:noFill/>
                    </a:ln>
                  </pic:spPr>
                </pic:pic>
              </a:graphicData>
            </a:graphic>
          </wp:inline>
        </w:drawing>
      </w:r>
    </w:p>
    <w:p w14:paraId="32B7E248" w14:textId="1FD253E5" w:rsidR="009521DB" w:rsidRPr="00DC2FE3" w:rsidRDefault="007239B2" w:rsidP="002765AE">
      <w:pPr>
        <w:rPr>
          <w:b/>
        </w:rPr>
      </w:pPr>
      <w:r w:rsidRPr="00DC2FE3">
        <w:rPr>
          <w:b/>
        </w:rPr>
        <w:t>Kennzeichen-Suche</w:t>
      </w:r>
    </w:p>
    <w:p w14:paraId="681A72A9" w14:textId="5D8C689F" w:rsidR="0047344F" w:rsidRDefault="00E5221C" w:rsidP="002765AE">
      <w:r>
        <w:t xml:space="preserve">Für die Recherche der </w:t>
      </w:r>
      <w:r w:rsidR="007239B2">
        <w:t xml:space="preserve">Kennzeichen </w:t>
      </w:r>
      <w:r w:rsidR="00401AB1">
        <w:t>können die Suchformulare „Indikation“ und „Handelsname und Wirkstoffe“ verwendet werden.</w:t>
      </w:r>
      <w:r w:rsidR="00DE77C3">
        <w:t xml:space="preserve"> </w:t>
      </w:r>
      <w:r w:rsidR="00401AB1">
        <w:t>Das Prinzip</w:t>
      </w:r>
      <w:r w:rsidR="00E14DEA">
        <w:t xml:space="preserve"> der Kennzeichen-Suche</w:t>
      </w:r>
      <w:r w:rsidR="00401AB1">
        <w:t xml:space="preserve"> ist bei beiden </w:t>
      </w:r>
      <w:r w:rsidR="00E14DEA">
        <w:t xml:space="preserve">Optionen </w:t>
      </w:r>
      <w:r w:rsidR="00401AB1">
        <w:t xml:space="preserve">gleich. In das Feld „Kennzeichen“ wird in das untere Feld das Kennzeichen-Kürzel eingetragen. Hier am Beispiel „SF275-EEWE“. Über die Autovervollständigung bietet </w:t>
      </w:r>
      <w:r w:rsidR="00DE77C3">
        <w:t xml:space="preserve">das System </w:t>
      </w:r>
      <w:r w:rsidR="002373A0">
        <w:t>übereinstimmende Kennzeichen</w:t>
      </w:r>
      <w:r w:rsidR="00401AB1">
        <w:t xml:space="preserve"> an</w:t>
      </w:r>
      <w:r w:rsidR="00DE77C3">
        <w:t>, die mit einem Klick ausgewählt werden</w:t>
      </w:r>
      <w:r w:rsidR="00401AB1">
        <w:t xml:space="preserve">. </w:t>
      </w:r>
      <w:r w:rsidR="00DE77C3">
        <w:t xml:space="preserve">Der </w:t>
      </w:r>
      <w:r w:rsidR="00401AB1">
        <w:t xml:space="preserve">Schalter „Suche / Aktualisieren“ </w:t>
      </w:r>
      <w:r w:rsidR="00DE77C3">
        <w:t xml:space="preserve">startet </w:t>
      </w:r>
      <w:r w:rsidR="00401AB1">
        <w:t>die</w:t>
      </w:r>
      <w:r w:rsidR="00DE77C3">
        <w:t xml:space="preserve"> Recherche</w:t>
      </w:r>
      <w:r w:rsidR="00401AB1">
        <w:t xml:space="preserve">. </w:t>
      </w:r>
    </w:p>
    <w:p w14:paraId="7472C040" w14:textId="2FB8CFCB" w:rsidR="0047344F" w:rsidRDefault="0047344F" w:rsidP="002765AE">
      <w:r>
        <w:rPr>
          <w:noProof/>
          <w:lang w:eastAsia="de-DE"/>
        </w:rPr>
        <w:drawing>
          <wp:inline distT="0" distB="0" distL="0" distR="0" wp14:anchorId="600860E8" wp14:editId="2EF9428F">
            <wp:extent cx="5760720" cy="1059815"/>
            <wp:effectExtent l="0" t="0" r="0"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PSInfo-Kennzeichen-eingeben_dlr.png"/>
                    <pic:cNvPicPr/>
                  </pic:nvPicPr>
                  <pic:blipFill>
                    <a:blip r:embed="rId12">
                      <a:extLst>
                        <a:ext uri="{28A0092B-C50C-407E-A947-70E740481C1C}">
                          <a14:useLocalDpi xmlns:a14="http://schemas.microsoft.com/office/drawing/2010/main" val="0"/>
                        </a:ext>
                      </a:extLst>
                    </a:blip>
                    <a:stretch>
                      <a:fillRect/>
                    </a:stretch>
                  </pic:blipFill>
                  <pic:spPr>
                    <a:xfrm>
                      <a:off x="0" y="0"/>
                      <a:ext cx="5760720" cy="1059815"/>
                    </a:xfrm>
                    <a:prstGeom prst="rect">
                      <a:avLst/>
                    </a:prstGeom>
                  </pic:spPr>
                </pic:pic>
              </a:graphicData>
            </a:graphic>
          </wp:inline>
        </w:drawing>
      </w:r>
    </w:p>
    <w:p w14:paraId="2313FE14" w14:textId="4653599E" w:rsidR="00401AB1" w:rsidRDefault="00401AB1" w:rsidP="002765AE">
      <w:r>
        <w:lastRenderedPageBreak/>
        <w:t xml:space="preserve">Im Ergebnis werden alle Pflanzenschutzmittel </w:t>
      </w:r>
      <w:r w:rsidR="00DE77C3">
        <w:t xml:space="preserve">und Indikationen </w:t>
      </w:r>
      <w:r>
        <w:t xml:space="preserve">gelistet, die das gesuchte Kennzeichen tragen. </w:t>
      </w:r>
      <w:r w:rsidR="00DE77C3">
        <w:t xml:space="preserve">Entweder als </w:t>
      </w:r>
      <w:r w:rsidR="00E5221C">
        <w:t xml:space="preserve">Anwendungsbestimmung oder </w:t>
      </w:r>
      <w:r w:rsidR="00DE77C3">
        <w:t xml:space="preserve">als </w:t>
      </w:r>
      <w:r w:rsidR="00E5221C">
        <w:t>Auflage</w:t>
      </w:r>
      <w:r w:rsidR="002373A0">
        <w:t>.</w:t>
      </w:r>
      <w:r w:rsidR="000C19E1">
        <w:t xml:space="preserve"> </w:t>
      </w:r>
      <w:r w:rsidR="00D97BD3">
        <w:t>Hier am Beispiel der Indikationssuche mit dem Kennzeichen „SF275-EEWE“.</w:t>
      </w:r>
    </w:p>
    <w:p w14:paraId="03A6CC08" w14:textId="36B5D193" w:rsidR="00D97BD3" w:rsidRDefault="00D97BD3" w:rsidP="002765AE">
      <w:r>
        <w:rPr>
          <w:noProof/>
          <w:lang w:eastAsia="de-DE"/>
        </w:rPr>
        <w:drawing>
          <wp:inline distT="0" distB="0" distL="0" distR="0" wp14:anchorId="7835CB9E" wp14:editId="2A089B96">
            <wp:extent cx="5760720" cy="145288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PSInfo-Ergebnis-Indik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1452880"/>
                    </a:xfrm>
                    <a:prstGeom prst="rect">
                      <a:avLst/>
                    </a:prstGeom>
                  </pic:spPr>
                </pic:pic>
              </a:graphicData>
            </a:graphic>
          </wp:inline>
        </w:drawing>
      </w:r>
    </w:p>
    <w:p w14:paraId="49AB37AE" w14:textId="13A416EC" w:rsidR="00D97BD3" w:rsidRDefault="004E13B1" w:rsidP="002765AE">
      <w:r>
        <w:t>Detaillierte Informationen werden über die blau hinterlegten Nummern bzw. Namen</w:t>
      </w:r>
      <w:r w:rsidR="000C19E1">
        <w:t xml:space="preserve"> geöffnet. </w:t>
      </w:r>
      <w:r>
        <w:t>Zum Beispiel werden i</w:t>
      </w:r>
      <w:r w:rsidR="000C19E1">
        <w:t>m Indikationsdatenblatt alle K</w:t>
      </w:r>
      <w:r>
        <w:t>ennzeichnungen zusammengeführt. Sowohl die Kennzeichnung des Mittels als auch die</w:t>
      </w:r>
      <w:r w:rsidR="000C19E1">
        <w:t xml:space="preserve"> der Indikation. Über das Symbol „Plus“ können die Kennzeichnungstexte eingeblendet werden.</w:t>
      </w:r>
    </w:p>
    <w:p w14:paraId="1BA422EF" w14:textId="7225D527" w:rsidR="00D97BD3" w:rsidRDefault="00D97BD3" w:rsidP="002765AE">
      <w:r>
        <w:rPr>
          <w:noProof/>
          <w:lang w:eastAsia="de-DE"/>
        </w:rPr>
        <w:drawing>
          <wp:inline distT="0" distB="0" distL="0" distR="0" wp14:anchorId="306F3AB9" wp14:editId="64473289">
            <wp:extent cx="5760720" cy="243903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PSInfo_Kennzeichen-Zuordnung.png"/>
                    <pic:cNvPicPr/>
                  </pic:nvPicPr>
                  <pic:blipFill>
                    <a:blip r:embed="rId14">
                      <a:extLst>
                        <a:ext uri="{28A0092B-C50C-407E-A947-70E740481C1C}">
                          <a14:useLocalDpi xmlns:a14="http://schemas.microsoft.com/office/drawing/2010/main" val="0"/>
                        </a:ext>
                      </a:extLst>
                    </a:blip>
                    <a:stretch>
                      <a:fillRect/>
                    </a:stretch>
                  </pic:blipFill>
                  <pic:spPr>
                    <a:xfrm>
                      <a:off x="0" y="0"/>
                      <a:ext cx="5760720" cy="2439035"/>
                    </a:xfrm>
                    <a:prstGeom prst="rect">
                      <a:avLst/>
                    </a:prstGeom>
                  </pic:spPr>
                </pic:pic>
              </a:graphicData>
            </a:graphic>
          </wp:inline>
        </w:drawing>
      </w:r>
    </w:p>
    <w:p w14:paraId="2705725B" w14:textId="4E1564E1" w:rsidR="006019E1" w:rsidRPr="00DC2FE3" w:rsidRDefault="00401AB1" w:rsidP="002765AE">
      <w:pPr>
        <w:rPr>
          <w:b/>
        </w:rPr>
      </w:pPr>
      <w:r w:rsidRPr="00DC2FE3">
        <w:rPr>
          <w:b/>
        </w:rPr>
        <w:t xml:space="preserve">Besondere Optionen </w:t>
      </w:r>
    </w:p>
    <w:p w14:paraId="5754CF0F" w14:textId="14229301" w:rsidR="002D5E45" w:rsidRDefault="00195D46" w:rsidP="002765AE">
      <w:r>
        <w:t>Die Anzeige der Ergebnislisten kann über den Schalter „Spaltenauswahl“ verändert werden. Über die Auswahl des Kästchens werden die Spalten an- bzw. abgewählt</w:t>
      </w:r>
      <w:r w:rsidR="00CB5485">
        <w:t xml:space="preserve"> (z.B. Anwendungsbestimmungen, Bienengefährdung)</w:t>
      </w:r>
      <w:r>
        <w:t xml:space="preserve">. </w:t>
      </w:r>
      <w:r w:rsidR="002373A0">
        <w:t xml:space="preserve">Für die Dokumentation steht eine Druckfunktion über das PDF-Symbol links oben zur Verfügung. </w:t>
      </w:r>
      <w:r w:rsidR="00FC7EEF">
        <w:t xml:space="preserve">Der </w:t>
      </w:r>
      <w:r w:rsidR="00D97BD3">
        <w:t xml:space="preserve">Umfang </w:t>
      </w:r>
      <w:r w:rsidR="002373A0">
        <w:t xml:space="preserve">der Druckliste </w:t>
      </w:r>
      <w:r w:rsidR="00FC7EEF">
        <w:t>kann selbst</w:t>
      </w:r>
      <w:r w:rsidR="00D97BD3">
        <w:t xml:space="preserve"> besti</w:t>
      </w:r>
      <w:r w:rsidR="002373A0">
        <w:t>mm</w:t>
      </w:r>
      <w:r w:rsidR="00FC7EEF">
        <w:t>t werden. Dafür steht die Auswahl „</w:t>
      </w:r>
      <w:r w:rsidR="00D97BD3">
        <w:t>Gesamtliste</w:t>
      </w:r>
      <w:r w:rsidR="00FC7EEF">
        <w:t>“</w:t>
      </w:r>
      <w:r w:rsidR="00D97BD3">
        <w:t xml:space="preserve"> oder </w:t>
      </w:r>
      <w:r w:rsidR="00FC7EEF">
        <w:t>„E</w:t>
      </w:r>
      <w:r w:rsidR="00D97BD3">
        <w:t>inzelne Treffer</w:t>
      </w:r>
      <w:r w:rsidR="00FC7EEF">
        <w:t>“</w:t>
      </w:r>
      <w:r w:rsidR="002373A0">
        <w:t xml:space="preserve"> ausgegeben </w:t>
      </w:r>
      <w:r w:rsidR="00FC7EEF">
        <w:t>zur Verfügung</w:t>
      </w:r>
      <w:r w:rsidR="00D97BD3">
        <w:t xml:space="preserve">. Wenn eine eigene Spaltenanzeige gewählt </w:t>
      </w:r>
      <w:r w:rsidR="00FC7EEF">
        <w:t>wurde</w:t>
      </w:r>
      <w:r w:rsidR="00D97BD3">
        <w:t xml:space="preserve">, </w:t>
      </w:r>
      <w:r w:rsidR="002373A0">
        <w:t xml:space="preserve">kann </w:t>
      </w:r>
      <w:r w:rsidR="00D97BD3">
        <w:t>das Ergebnis a</w:t>
      </w:r>
      <w:r w:rsidR="002373A0">
        <w:t>uf</w:t>
      </w:r>
      <w:r w:rsidR="00D97BD3">
        <w:t xml:space="preserve"> „</w:t>
      </w:r>
      <w:r w:rsidR="002373A0">
        <w:t>W</w:t>
      </w:r>
      <w:r w:rsidR="00D97BD3">
        <w:t xml:space="preserve">ie </w:t>
      </w:r>
      <w:r w:rsidR="002373A0">
        <w:t xml:space="preserve">am Bildschirm </w:t>
      </w:r>
      <w:r w:rsidR="00D97BD3">
        <w:t>angezeigt“</w:t>
      </w:r>
      <w:r w:rsidR="002373A0">
        <w:t xml:space="preserve"> angepasst werden</w:t>
      </w:r>
      <w:r w:rsidR="00D97BD3">
        <w:t xml:space="preserve">. </w:t>
      </w:r>
    </w:p>
    <w:p w14:paraId="182F794C" w14:textId="5D2CBE90" w:rsidR="00E14DEA" w:rsidRDefault="00E14DEA" w:rsidP="002765AE">
      <w:r>
        <w:rPr>
          <w:noProof/>
          <w:lang w:eastAsia="de-DE"/>
        </w:rPr>
        <w:lastRenderedPageBreak/>
        <w:drawing>
          <wp:inline distT="0" distB="0" distL="0" distR="0" wp14:anchorId="5C1FBA20" wp14:editId="054F8B64">
            <wp:extent cx="2476562" cy="2589580"/>
            <wp:effectExtent l="0" t="0" r="0" b="127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PSInfo-Spaltenauswahl_dlr.png"/>
                    <pic:cNvPicPr/>
                  </pic:nvPicPr>
                  <pic:blipFill>
                    <a:blip r:embed="rId15">
                      <a:extLst>
                        <a:ext uri="{28A0092B-C50C-407E-A947-70E740481C1C}">
                          <a14:useLocalDpi xmlns:a14="http://schemas.microsoft.com/office/drawing/2010/main" val="0"/>
                        </a:ext>
                      </a:extLst>
                    </a:blip>
                    <a:stretch>
                      <a:fillRect/>
                    </a:stretch>
                  </pic:blipFill>
                  <pic:spPr>
                    <a:xfrm>
                      <a:off x="0" y="0"/>
                      <a:ext cx="2481919" cy="2595182"/>
                    </a:xfrm>
                    <a:prstGeom prst="rect">
                      <a:avLst/>
                    </a:prstGeom>
                  </pic:spPr>
                </pic:pic>
              </a:graphicData>
            </a:graphic>
          </wp:inline>
        </w:drawing>
      </w:r>
      <w:r>
        <w:t xml:space="preserve">  </w:t>
      </w:r>
      <w:r>
        <w:rPr>
          <w:noProof/>
          <w:lang w:eastAsia="de-DE"/>
        </w:rPr>
        <w:drawing>
          <wp:inline distT="0" distB="0" distL="0" distR="0" wp14:anchorId="1897932D" wp14:editId="2858FC1F">
            <wp:extent cx="2819456" cy="2573801"/>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PSInfo-Drucken_dlr.png"/>
                    <pic:cNvPicPr/>
                  </pic:nvPicPr>
                  <pic:blipFill>
                    <a:blip r:embed="rId16">
                      <a:extLst>
                        <a:ext uri="{28A0092B-C50C-407E-A947-70E740481C1C}">
                          <a14:useLocalDpi xmlns:a14="http://schemas.microsoft.com/office/drawing/2010/main" val="0"/>
                        </a:ext>
                      </a:extLst>
                    </a:blip>
                    <a:stretch>
                      <a:fillRect/>
                    </a:stretch>
                  </pic:blipFill>
                  <pic:spPr>
                    <a:xfrm>
                      <a:off x="0" y="0"/>
                      <a:ext cx="2836065" cy="2588963"/>
                    </a:xfrm>
                    <a:prstGeom prst="rect">
                      <a:avLst/>
                    </a:prstGeom>
                  </pic:spPr>
                </pic:pic>
              </a:graphicData>
            </a:graphic>
          </wp:inline>
        </w:drawing>
      </w:r>
    </w:p>
    <w:p w14:paraId="5339FDE3" w14:textId="28A3EB2E" w:rsidR="002609F8" w:rsidRDefault="002609F8" w:rsidP="002765AE"/>
    <w:p w14:paraId="19C6BE1D" w14:textId="77777777" w:rsidR="00711CE6" w:rsidRDefault="00711CE6" w:rsidP="002765AE"/>
    <w:sectPr w:rsidR="00711CE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EA241" w14:textId="77777777" w:rsidR="00517F7C" w:rsidRDefault="00517F7C" w:rsidP="00CA799F">
      <w:pPr>
        <w:spacing w:after="0" w:line="240" w:lineRule="auto"/>
      </w:pPr>
      <w:r>
        <w:separator/>
      </w:r>
    </w:p>
  </w:endnote>
  <w:endnote w:type="continuationSeparator" w:id="0">
    <w:p w14:paraId="65C63267" w14:textId="77777777" w:rsidR="00517F7C" w:rsidRDefault="00517F7C" w:rsidP="00CA7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95576" w14:textId="77777777" w:rsidR="00517F7C" w:rsidRDefault="00517F7C" w:rsidP="00CA799F">
      <w:pPr>
        <w:spacing w:after="0" w:line="240" w:lineRule="auto"/>
      </w:pPr>
      <w:r>
        <w:separator/>
      </w:r>
    </w:p>
  </w:footnote>
  <w:footnote w:type="continuationSeparator" w:id="0">
    <w:p w14:paraId="04C0F63E" w14:textId="77777777" w:rsidR="00517F7C" w:rsidRDefault="00517F7C" w:rsidP="00CA79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5AE"/>
    <w:rsid w:val="00033C1A"/>
    <w:rsid w:val="00033F13"/>
    <w:rsid w:val="00042FBA"/>
    <w:rsid w:val="000B2055"/>
    <w:rsid w:val="000C19E1"/>
    <w:rsid w:val="000D61EF"/>
    <w:rsid w:val="000D6E56"/>
    <w:rsid w:val="000F4258"/>
    <w:rsid w:val="001279F2"/>
    <w:rsid w:val="001636D0"/>
    <w:rsid w:val="001678C6"/>
    <w:rsid w:val="00195D46"/>
    <w:rsid w:val="001A152A"/>
    <w:rsid w:val="001C3BD8"/>
    <w:rsid w:val="00223465"/>
    <w:rsid w:val="002373A0"/>
    <w:rsid w:val="00246F53"/>
    <w:rsid w:val="002609F8"/>
    <w:rsid w:val="002765AE"/>
    <w:rsid w:val="002869EE"/>
    <w:rsid w:val="002A37BC"/>
    <w:rsid w:val="002B1948"/>
    <w:rsid w:val="002D15F2"/>
    <w:rsid w:val="002D5E45"/>
    <w:rsid w:val="002E69F2"/>
    <w:rsid w:val="00331DD8"/>
    <w:rsid w:val="00387787"/>
    <w:rsid w:val="00390CC2"/>
    <w:rsid w:val="003A38FC"/>
    <w:rsid w:val="003A798F"/>
    <w:rsid w:val="003B4886"/>
    <w:rsid w:val="003D7A06"/>
    <w:rsid w:val="00401AB1"/>
    <w:rsid w:val="00433444"/>
    <w:rsid w:val="00440455"/>
    <w:rsid w:val="00467DC3"/>
    <w:rsid w:val="0047344F"/>
    <w:rsid w:val="004C6E0A"/>
    <w:rsid w:val="004E13B1"/>
    <w:rsid w:val="00517F7C"/>
    <w:rsid w:val="005423A1"/>
    <w:rsid w:val="005701D5"/>
    <w:rsid w:val="005C2ED8"/>
    <w:rsid w:val="006019E1"/>
    <w:rsid w:val="00602E0C"/>
    <w:rsid w:val="00611AA0"/>
    <w:rsid w:val="0062402F"/>
    <w:rsid w:val="00650AA7"/>
    <w:rsid w:val="0065752C"/>
    <w:rsid w:val="00660780"/>
    <w:rsid w:val="00685AB8"/>
    <w:rsid w:val="006E617B"/>
    <w:rsid w:val="00711CE6"/>
    <w:rsid w:val="0071282B"/>
    <w:rsid w:val="007239B2"/>
    <w:rsid w:val="007A25B4"/>
    <w:rsid w:val="007F5E94"/>
    <w:rsid w:val="0080073D"/>
    <w:rsid w:val="00800DB8"/>
    <w:rsid w:val="008402F0"/>
    <w:rsid w:val="009521DB"/>
    <w:rsid w:val="00955316"/>
    <w:rsid w:val="009C4B74"/>
    <w:rsid w:val="009E2BEF"/>
    <w:rsid w:val="00AF222A"/>
    <w:rsid w:val="00B726EF"/>
    <w:rsid w:val="00B8105C"/>
    <w:rsid w:val="00BC1065"/>
    <w:rsid w:val="00CA799F"/>
    <w:rsid w:val="00CB5485"/>
    <w:rsid w:val="00CE42E0"/>
    <w:rsid w:val="00D36586"/>
    <w:rsid w:val="00D7041A"/>
    <w:rsid w:val="00D97BD3"/>
    <w:rsid w:val="00DC2FE3"/>
    <w:rsid w:val="00DE77C3"/>
    <w:rsid w:val="00E03840"/>
    <w:rsid w:val="00E14DEA"/>
    <w:rsid w:val="00E2583E"/>
    <w:rsid w:val="00E26730"/>
    <w:rsid w:val="00E41B96"/>
    <w:rsid w:val="00E50712"/>
    <w:rsid w:val="00E5221C"/>
    <w:rsid w:val="00E63BE4"/>
    <w:rsid w:val="00E83D94"/>
    <w:rsid w:val="00EB10C9"/>
    <w:rsid w:val="00EB19F9"/>
    <w:rsid w:val="00EC53CE"/>
    <w:rsid w:val="00ED50C0"/>
    <w:rsid w:val="00F310EA"/>
    <w:rsid w:val="00F51D93"/>
    <w:rsid w:val="00F6282D"/>
    <w:rsid w:val="00FA1BCD"/>
    <w:rsid w:val="00FC7E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229C"/>
  <w15:chartTrackingRefBased/>
  <w15:docId w15:val="{A1CCC798-1E96-454E-B3C7-422F8B00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2765AE"/>
    <w:rPr>
      <w:sz w:val="16"/>
      <w:szCs w:val="16"/>
    </w:rPr>
  </w:style>
  <w:style w:type="paragraph" w:styleId="Kommentartext">
    <w:name w:val="annotation text"/>
    <w:basedOn w:val="Standard"/>
    <w:link w:val="KommentartextZchn"/>
    <w:uiPriority w:val="99"/>
    <w:semiHidden/>
    <w:unhideWhenUsed/>
    <w:rsid w:val="002765A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65AE"/>
    <w:rPr>
      <w:sz w:val="20"/>
      <w:szCs w:val="20"/>
    </w:rPr>
  </w:style>
  <w:style w:type="paragraph" w:styleId="Sprechblasentext">
    <w:name w:val="Balloon Text"/>
    <w:basedOn w:val="Standard"/>
    <w:link w:val="SprechblasentextZchn"/>
    <w:uiPriority w:val="99"/>
    <w:semiHidden/>
    <w:unhideWhenUsed/>
    <w:rsid w:val="002765A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65AE"/>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2765AE"/>
    <w:rPr>
      <w:b/>
      <w:bCs/>
    </w:rPr>
  </w:style>
  <w:style w:type="character" w:customStyle="1" w:styleId="KommentarthemaZchn">
    <w:name w:val="Kommentarthema Zchn"/>
    <w:basedOn w:val="KommentartextZchn"/>
    <w:link w:val="Kommentarthema"/>
    <w:uiPriority w:val="99"/>
    <w:semiHidden/>
    <w:rsid w:val="002765AE"/>
    <w:rPr>
      <w:b/>
      <w:bCs/>
      <w:sz w:val="20"/>
      <w:szCs w:val="20"/>
    </w:rPr>
  </w:style>
  <w:style w:type="character" w:styleId="Fett">
    <w:name w:val="Strong"/>
    <w:basedOn w:val="Absatz-Standardschriftart"/>
    <w:uiPriority w:val="22"/>
    <w:qFormat/>
    <w:rsid w:val="00440455"/>
    <w:rPr>
      <w:b/>
      <w:bCs/>
    </w:rPr>
  </w:style>
  <w:style w:type="character" w:styleId="Hyperlink">
    <w:name w:val="Hyperlink"/>
    <w:basedOn w:val="Absatz-Standardschriftart"/>
    <w:uiPriority w:val="99"/>
    <w:unhideWhenUsed/>
    <w:rsid w:val="00E2583E"/>
    <w:rPr>
      <w:color w:val="0000FF"/>
      <w:u w:val="single"/>
    </w:rPr>
  </w:style>
  <w:style w:type="paragraph" w:styleId="Kopfzeile">
    <w:name w:val="header"/>
    <w:basedOn w:val="Standard"/>
    <w:link w:val="KopfzeileZchn"/>
    <w:uiPriority w:val="99"/>
    <w:unhideWhenUsed/>
    <w:rsid w:val="00CA79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799F"/>
  </w:style>
  <w:style w:type="paragraph" w:styleId="Fuzeile">
    <w:name w:val="footer"/>
    <w:basedOn w:val="Standard"/>
    <w:link w:val="FuzeileZchn"/>
    <w:uiPriority w:val="99"/>
    <w:unhideWhenUsed/>
    <w:rsid w:val="00CA79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http://www.pflanzenschutz-information.de" TargetMode="External"/><Relationship Id="rId4" Type="http://schemas.openxmlformats.org/officeDocument/2006/relationships/webSettings" Target="webSettings.xml"/><Relationship Id="rId9" Type="http://schemas.openxmlformats.org/officeDocument/2006/relationships/hyperlink" Target="http://www.pflanzenschutz-information.de" TargetMode="External"/><Relationship Id="rId14"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96C62-8EA1-4699-94AC-EB5E1544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1910</Words>
  <Characters>12036</Characters>
  <Application>Microsoft Office Word</Application>
  <DocSecurity>4</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BVL</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Röver, Dr. Markus</dc:creator>
  <cp:keywords/>
  <dc:description/>
  <cp:lastModifiedBy>Miriam Berner</cp:lastModifiedBy>
  <cp:revision>2</cp:revision>
  <dcterms:created xsi:type="dcterms:W3CDTF">2023-04-28T07:59:00Z</dcterms:created>
  <dcterms:modified xsi:type="dcterms:W3CDTF">2023-04-28T07:59:00Z</dcterms:modified>
</cp:coreProperties>
</file>